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 w:line="560" w:lineRule="exact"/>
        <w:rPr>
          <w:rFonts w:asciiTheme="minorEastAsia" w:hAnsiTheme="minorEastAsia" w:eastAsiaTheme="minorEastAsia" w:cstheme="minorEastAsia"/>
          <w:b w:val="0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2"/>
          <w:szCs w:val="32"/>
        </w:rPr>
        <w:t>附件2-2</w:t>
      </w: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7"/>
        <w:spacing w:beforeAutospacing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7"/>
        <w:spacing w:beforeAutospacing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（优秀综合设计奖）</w:t>
      </w: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color w:val="000000"/>
        </w:rPr>
      </w:pPr>
    </w:p>
    <w:tbl>
      <w:tblPr>
        <w:tblStyle w:val="4"/>
        <w:tblW w:w="833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2803"/>
        <w:gridCol w:w="35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30" w:hRule="atLeast"/>
        </w:trPr>
        <w:tc>
          <w:tcPr>
            <w:tcW w:w="1947" w:type="dxa"/>
            <w:vMerge w:val="restart"/>
            <w:noWrap/>
            <w:vAlign w:val="center"/>
          </w:tcPr>
          <w:p>
            <w:pPr>
              <w:spacing w:line="400" w:lineRule="exact"/>
              <w:jc w:val="right"/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8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2803" w:type="dxa"/>
            <w:tcBorders>
              <w:bottom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</w:pP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建筑工程设计</w:t>
            </w:r>
          </w:p>
        </w:tc>
        <w:tc>
          <w:tcPr>
            <w:tcW w:w="3586" w:type="dxa"/>
            <w:tcBorders>
              <w:bottom w:val="nil"/>
            </w:tcBorders>
            <w:noWrap/>
            <w:vAlign w:val="center"/>
          </w:tcPr>
          <w:p>
            <w:pPr>
              <w:spacing w:line="360" w:lineRule="exact"/>
              <w:jc w:val="left"/>
              <w:rPr>
                <w:rStyle w:val="8"/>
                <w:rFonts w:ascii="Times New Roman" w:hAnsi="Times New Roman" w:eastAsia="仿宋_GB2312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  <w:sz w:val="30"/>
                <w:szCs w:val="30"/>
              </w:rPr>
              <w:sym w:font="Wingdings" w:char="00A8"/>
            </w: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  <w:sz w:val="30"/>
                <w:szCs w:val="30"/>
              </w:rPr>
              <w:t>公共建筑</w:t>
            </w:r>
          </w:p>
          <w:p>
            <w:pPr>
              <w:spacing w:line="360" w:lineRule="exact"/>
              <w:jc w:val="left"/>
              <w:rPr>
                <w:rStyle w:val="8"/>
                <w:rFonts w:ascii="Times New Roman" w:hAnsi="Times New Roman" w:eastAsia="仿宋_GB2312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  <w:sz w:val="30"/>
                <w:szCs w:val="30"/>
              </w:rPr>
              <w:sym w:font="Wingdings" w:char="00A8"/>
            </w: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  <w:sz w:val="30"/>
                <w:szCs w:val="30"/>
              </w:rPr>
              <w:t>一般工业建筑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20" w:hRule="atLeast"/>
        </w:trPr>
        <w:tc>
          <w:tcPr>
            <w:tcW w:w="1947" w:type="dxa"/>
            <w:vMerge w:val="continue"/>
            <w:tcBorders>
              <w:right w:val="nil"/>
            </w:tcBorders>
            <w:noWrap/>
            <w:vAlign w:val="center"/>
          </w:tcPr>
          <w:p>
            <w:pPr>
              <w:spacing w:line="560" w:lineRule="exact"/>
              <w:jc w:val="right"/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</w:pP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村镇建筑设计</w:t>
            </w:r>
          </w:p>
        </w:tc>
        <w:tc>
          <w:tcPr>
            <w:tcW w:w="358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spacing w:line="360" w:lineRule="exact"/>
              <w:jc w:val="left"/>
              <w:rPr>
                <w:rStyle w:val="8"/>
                <w:rFonts w:ascii="Times New Roman" w:hAnsi="Times New Roman" w:eastAsia="仿宋_GB2312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  <w:sz w:val="30"/>
                <w:szCs w:val="30"/>
              </w:rPr>
              <w:sym w:font="Wingdings" w:char="00A8"/>
            </w: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  <w:sz w:val="30"/>
                <w:szCs w:val="30"/>
              </w:rPr>
              <w:t>村镇公共建筑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tcBorders>
              <w:right w:val="nil"/>
            </w:tcBorders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8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202</w:t>
            </w:r>
            <w:r>
              <w:rPr>
                <w:rStyle w:val="8"/>
                <w:rFonts w:hint="eastAsia" w:eastAsia="仿宋_GB2312" w:cs="Times New Roman"/>
                <w:bCs/>
                <w:color w:val="000000"/>
                <w:lang w:val="en-US" w:eastAsia="zh-CN"/>
              </w:rPr>
              <w:t>4</w:t>
            </w:r>
            <w:r>
              <w:rPr>
                <w:rStyle w:val="8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黑体" w:cs="Times New Roman"/>
          <w:bCs/>
          <w:color w:val="000000"/>
          <w:sz w:val="32"/>
          <w:szCs w:val="32"/>
        </w:rPr>
      </w:pPr>
      <w:r>
        <w:rPr>
          <w:rStyle w:val="9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申报单位承诺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此次填报的申报表及附件材料的全部内容、数据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360" w:lineRule="auto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4320" w:firstLineChars="1350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（单位公章）</w:t>
      </w:r>
    </w:p>
    <w:p>
      <w:pPr>
        <w:spacing w:line="560" w:lineRule="exact"/>
        <w:ind w:firstLine="4800" w:firstLineChars="1500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560" w:lineRule="exact"/>
        <w:ind w:firstLine="5760" w:firstLineChars="1800"/>
        <w:rPr>
          <w:rFonts w:eastAsia="黑体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4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合作项目申报声明（原件）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设计服务合同（复印件）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施工图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施工单位、建设单位的评价证明（复印件）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工程图纸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Fonts w:eastAsia="方正仿宋_GBK" w:cs="Times New Roman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</w:p>
    <w:p>
      <w:pP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项目主要</w:t>
      </w:r>
      <w:r>
        <w:rPr>
          <w:rStyle w:val="6"/>
          <w:rFonts w:hint="eastAsia" w:eastAsia="黑体" w:cs="Times New Roman"/>
          <w:b w:val="0"/>
          <w:bCs w:val="0"/>
          <w:color w:val="000000"/>
          <w:sz w:val="36"/>
          <w:szCs w:val="36"/>
        </w:rPr>
        <w:t>完成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人员</w:t>
      </w:r>
    </w:p>
    <w:tbl>
      <w:tblPr>
        <w:tblStyle w:val="4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9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10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11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12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13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14</w:t>
            </w:r>
          </w:p>
        </w:tc>
        <w:tc>
          <w:tcPr>
            <w:tcW w:w="111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15</w:t>
            </w:r>
          </w:p>
        </w:tc>
        <w:tc>
          <w:tcPr>
            <w:tcW w:w="1110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16</w:t>
            </w:r>
          </w:p>
        </w:tc>
        <w:tc>
          <w:tcPr>
            <w:tcW w:w="1110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17</w:t>
            </w:r>
          </w:p>
        </w:tc>
        <w:tc>
          <w:tcPr>
            <w:tcW w:w="1110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18</w:t>
            </w:r>
          </w:p>
        </w:tc>
        <w:tc>
          <w:tcPr>
            <w:tcW w:w="1110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19</w:t>
            </w:r>
          </w:p>
        </w:tc>
        <w:tc>
          <w:tcPr>
            <w:tcW w:w="1110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7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20</w:t>
            </w:r>
          </w:p>
        </w:tc>
        <w:tc>
          <w:tcPr>
            <w:tcW w:w="1110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0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02" w:type="dxa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eastAsia="黑体" w:cs="Times New Roman"/>
          <w:sz w:val="24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1、按贡献从大到小排列。2、项目主要完成人员不超过20，其中合作单位完成人员不超过5人</w:t>
      </w:r>
      <w:bookmarkStart w:id="0" w:name="_GoBack"/>
      <w:bookmarkEnd w:id="0"/>
      <w:r>
        <w:rPr>
          <w:rFonts w:hint="eastAsia" w:eastAsia="方正仿宋_GBK" w:cs="Times New Roman"/>
          <w:sz w:val="28"/>
          <w:szCs w:val="28"/>
        </w:rPr>
        <w:t>。</w:t>
      </w:r>
    </w:p>
    <w:p>
      <w:pPr>
        <w:adjustRightInd w:val="0"/>
        <w:snapToGrid w:val="0"/>
        <w:spacing w:afterLines="50"/>
        <w:jc w:val="center"/>
        <w:rPr>
          <w:rStyle w:val="6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  <w:t>项目基本情况</w:t>
      </w:r>
    </w:p>
    <w:tbl>
      <w:tblPr>
        <w:tblStyle w:val="4"/>
        <w:tblW w:w="8313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15"/>
        <w:gridCol w:w="201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</w:t>
            </w:r>
            <w:r>
              <w:rPr>
                <w:rFonts w:hint="eastAsia" w:eastAsia="黑体" w:cs="Times New Roman"/>
                <w:sz w:val="28"/>
                <w:szCs w:val="28"/>
              </w:rPr>
              <w:t>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建筑</w:t>
            </w:r>
            <w:r>
              <w:rPr>
                <w:rFonts w:eastAsia="黑体" w:cs="Times New Roman"/>
                <w:sz w:val="28"/>
                <w:szCs w:val="28"/>
              </w:rPr>
              <w:t>类型</w:t>
            </w:r>
            <w:r>
              <w:rPr>
                <w:rFonts w:hint="eastAsia" w:eastAsia="黑体" w:cs="Times New Roman"/>
                <w:sz w:val="28"/>
                <w:szCs w:val="28"/>
              </w:rPr>
              <w:t>（功能）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设计性质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新建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改建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扩建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翻建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阶段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方案设计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初步设计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sz w:val="28"/>
                <w:szCs w:val="28"/>
              </w:rPr>
              <w:t>开始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竣工验收时间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使用时间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建设单位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施工单位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7" w:hRule="atLeast"/>
        </w:trPr>
        <w:tc>
          <w:tcPr>
            <w:tcW w:w="8313" w:type="dxa"/>
            <w:gridSpan w:val="4"/>
            <w:noWrap/>
          </w:tcPr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afterLines="50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sz w:val="36"/>
          <w:szCs w:val="36"/>
        </w:rPr>
        <w:br w:type="page"/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工程项目特点</w:t>
      </w:r>
    </w:p>
    <w:tbl>
      <w:tblPr>
        <w:tblStyle w:val="4"/>
        <w:tblW w:w="83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7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项目概况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（项目总体介绍、项目规模、复杂程度及影响程度等，限500字）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7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技术特色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（项目特色及主要的技术成果指标，限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7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技术成效</w:t>
            </w:r>
          </w:p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与深度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（解决的技术难题、工程问题的成效与深度，限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7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综合效益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（项目产生的经济、社会、环境效益，限500字）</w:t>
            </w:r>
          </w:p>
        </w:tc>
      </w:tr>
    </w:tbl>
    <w:p>
      <w:pPr>
        <w:spacing w:afterLines="50" w:line="560" w:lineRule="exact"/>
        <w:jc w:val="center"/>
        <w:rPr>
          <w:rStyle w:val="6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color w:val="000000"/>
          <w:sz w:val="32"/>
          <w:szCs w:val="32"/>
        </w:rPr>
        <w:br w:type="page"/>
      </w:r>
      <w:r>
        <w:rPr>
          <w:rStyle w:val="6"/>
          <w:rFonts w:hint="eastAsia" w:eastAsia="黑体" w:cs="Times New Roman" w:asciiTheme="minorHAnsi" w:hAnsiTheme="minorHAnsi"/>
          <w:b w:val="0"/>
          <w:bCs w:val="0"/>
          <w:color w:val="000000"/>
          <w:sz w:val="36"/>
          <w:szCs w:val="36"/>
        </w:rPr>
        <w:t>专业技术指标（建筑专业）</w:t>
      </w:r>
    </w:p>
    <w:tbl>
      <w:tblPr>
        <w:tblStyle w:val="4"/>
        <w:tblW w:w="8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06"/>
        <w:gridCol w:w="1117"/>
        <w:gridCol w:w="1117"/>
        <w:gridCol w:w="970"/>
        <w:gridCol w:w="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建筑用途</w:t>
            </w:r>
            <w:r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  <w:t>（性质）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22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建筑规模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总用地面积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2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容 积 率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总建筑面积</w:t>
            </w:r>
          </w:p>
        </w:tc>
        <w:tc>
          <w:tcPr>
            <w:tcW w:w="1906" w:type="dxa"/>
            <w:vMerge w:val="restart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23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其  中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地上m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1906" w:type="dxa"/>
            <w:vMerge w:val="continue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223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地下m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建筑基底面积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2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建筑高度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绿地面积</w:t>
            </w:r>
          </w:p>
        </w:tc>
        <w:tc>
          <w:tcPr>
            <w:tcW w:w="1906" w:type="dxa"/>
            <w:vAlign w:val="center"/>
          </w:tcPr>
          <w:p>
            <w:pPr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2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绿化率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建筑分类</w:t>
            </w:r>
            <w:r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  <w:t>（高层建筑）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 xml:space="preserve">一类 </w:t>
            </w: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二类</w:t>
            </w:r>
          </w:p>
        </w:tc>
        <w:tc>
          <w:tcPr>
            <w:tcW w:w="22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耐火等级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一级</w:t>
            </w: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层数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地上层</w:t>
            </w:r>
          </w:p>
        </w:tc>
        <w:tc>
          <w:tcPr>
            <w:tcW w:w="223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主要层高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地上m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地下层</w:t>
            </w:r>
          </w:p>
        </w:tc>
        <w:tc>
          <w:tcPr>
            <w:tcW w:w="223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地下m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主楼/裙房电梯数</w:t>
            </w:r>
          </w:p>
        </w:tc>
        <w:tc>
          <w:tcPr>
            <w:tcW w:w="6081" w:type="dxa"/>
            <w:gridSpan w:val="5"/>
            <w:vAlign w:val="center"/>
          </w:tcPr>
          <w:p>
            <w:pPr>
              <w:ind w:right="280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主楼  台，裙房 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机动车停放数量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总计辆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地上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辆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地下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自行车停放数量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总计辆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地上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辆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地下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绿色建筑星级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1"/>
              </w:rPr>
              <w:t>（以取得标识为准）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  <w:szCs w:val="22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一星级</w:t>
            </w:r>
          </w:p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  <w:szCs w:val="22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二星级</w:t>
            </w:r>
          </w:p>
          <w:p>
            <w:pPr>
              <w:jc w:val="center"/>
              <w:rPr>
                <w:rFonts w:eastAsia="仿宋_GB2312" w:cs="Times New Roman"/>
                <w:color w:val="000000"/>
                <w:sz w:val="24"/>
                <w:szCs w:val="22"/>
              </w:rPr>
            </w:pPr>
            <w:r>
              <w:rPr>
                <w:rFonts w:eastAsia="仿宋_GB2312" w:cs="Times New Roman"/>
                <w:color w:val="000000"/>
                <w:sz w:val="24"/>
                <w:szCs w:val="22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三星级</w:t>
            </w:r>
          </w:p>
        </w:tc>
        <w:tc>
          <w:tcPr>
            <w:tcW w:w="2234" w:type="dxa"/>
            <w:gridSpan w:val="2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建筑外墙采用门窗、保温、装饰一体化设计</w:t>
            </w:r>
          </w:p>
        </w:tc>
        <w:tc>
          <w:tcPr>
            <w:tcW w:w="1941" w:type="dxa"/>
            <w:gridSpan w:val="2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  <w:szCs w:val="22"/>
              </w:rPr>
            </w:pPr>
            <w:r>
              <w:rPr>
                <w:rFonts w:eastAsia="仿宋_GB2312" w:cs="Times New Roman"/>
                <w:color w:val="000000"/>
                <w:sz w:val="24"/>
                <w:szCs w:val="22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是</w:t>
            </w:r>
            <w:r>
              <w:rPr>
                <w:rFonts w:eastAsia="仿宋_GB2312" w:cs="Times New Roman"/>
                <w:color w:val="000000"/>
                <w:sz w:val="24"/>
                <w:szCs w:val="22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基本单元、构件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标准化率</w:t>
            </w:r>
          </w:p>
        </w:tc>
        <w:tc>
          <w:tcPr>
            <w:tcW w:w="1906" w:type="dxa"/>
            <w:shd w:val="clear" w:color="auto" w:fill="F1F1F1" w:themeFill="background1" w:themeFillShade="F2"/>
            <w:vAlign w:val="center"/>
          </w:tcPr>
          <w:p>
            <w:pPr>
              <w:ind w:firstLine="570"/>
              <w:jc w:val="center"/>
              <w:rPr>
                <w:rFonts w:eastAsia="仿宋_GB2312" w:cs="Times New Roman"/>
                <w:color w:val="000000"/>
                <w:sz w:val="24"/>
                <w:szCs w:val="22"/>
              </w:rPr>
            </w:pPr>
          </w:p>
        </w:tc>
        <w:tc>
          <w:tcPr>
            <w:tcW w:w="2234" w:type="dxa"/>
            <w:gridSpan w:val="2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建筑、结构、机电、装修一体化率</w:t>
            </w:r>
          </w:p>
        </w:tc>
        <w:tc>
          <w:tcPr>
            <w:tcW w:w="1941" w:type="dxa"/>
            <w:gridSpan w:val="2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周围道路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宽度及性质</w:t>
            </w:r>
          </w:p>
        </w:tc>
        <w:tc>
          <w:tcPr>
            <w:tcW w:w="6081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9" w:type="dxa"/>
            <w:gridSpan w:val="6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建筑专业设计主要特点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8349" w:type="dxa"/>
            <w:gridSpan w:val="6"/>
          </w:tcPr>
          <w:p>
            <w:pPr>
              <w:jc w:val="left"/>
              <w:rPr>
                <w:rFonts w:eastAsia="仿宋_GB2312" w:cs="Times New Roman"/>
                <w:color w:val="000000"/>
                <w:sz w:val="24"/>
                <w:szCs w:val="22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（不少于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4</w:t>
            </w:r>
            <w:r>
              <w:rPr>
                <w:rFonts w:eastAsia="仿宋_GB2312" w:cs="Times New Roman"/>
                <w:color w:val="000000"/>
                <w:sz w:val="24"/>
              </w:rPr>
              <w:t>00字）</w:t>
            </w:r>
          </w:p>
        </w:tc>
      </w:tr>
    </w:tbl>
    <w:p>
      <w:pPr>
        <w:rPr>
          <w:rFonts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br w:type="page"/>
      </w:r>
    </w:p>
    <w:p>
      <w:pPr>
        <w:spacing w:afterLines="50" w:line="560" w:lineRule="exact"/>
        <w:jc w:val="center"/>
        <w:rPr>
          <w:rStyle w:val="6"/>
          <w:rFonts w:ascii="黑体" w:hAnsi="黑体" w:eastAsia="黑体" w:cs="黑体"/>
          <w:b w:val="0"/>
          <w:bCs w:val="0"/>
          <w:color w:val="000000"/>
          <w:sz w:val="36"/>
          <w:szCs w:val="36"/>
        </w:rPr>
      </w:pP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6"/>
          <w:szCs w:val="36"/>
        </w:rPr>
        <w:t>专业技术指标（结构专业）</w:t>
      </w:r>
    </w:p>
    <w:tbl>
      <w:tblPr>
        <w:tblStyle w:val="4"/>
        <w:tblW w:w="8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539"/>
        <w:gridCol w:w="402"/>
        <w:gridCol w:w="410"/>
        <w:gridCol w:w="7"/>
        <w:gridCol w:w="274"/>
        <w:gridCol w:w="136"/>
        <w:gridCol w:w="423"/>
        <w:gridCol w:w="132"/>
        <w:gridCol w:w="674"/>
        <w:gridCol w:w="708"/>
        <w:gridCol w:w="111"/>
        <w:gridCol w:w="283"/>
        <w:gridCol w:w="127"/>
        <w:gridCol w:w="409"/>
        <w:gridCol w:w="452"/>
        <w:gridCol w:w="368"/>
        <w:gridCol w:w="323"/>
        <w:gridCol w:w="229"/>
        <w:gridCol w:w="267"/>
        <w:gridCol w:w="195"/>
        <w:gridCol w:w="215"/>
        <w:gridCol w:w="409"/>
        <w:gridCol w:w="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1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结构体系</w:t>
            </w:r>
          </w:p>
        </w:tc>
        <w:tc>
          <w:tcPr>
            <w:tcW w:w="2073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2073" w:type="dxa"/>
            <w:gridSpan w:val="7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基础类型</w:t>
            </w:r>
          </w:p>
        </w:tc>
        <w:tc>
          <w:tcPr>
            <w:tcW w:w="2139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1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抗震设防烈度</w:t>
            </w:r>
          </w:p>
        </w:tc>
        <w:tc>
          <w:tcPr>
            <w:tcW w:w="2073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度</w:t>
            </w:r>
          </w:p>
        </w:tc>
        <w:tc>
          <w:tcPr>
            <w:tcW w:w="2073" w:type="dxa"/>
            <w:gridSpan w:val="7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抗震设防类别</w:t>
            </w:r>
          </w:p>
        </w:tc>
        <w:tc>
          <w:tcPr>
            <w:tcW w:w="2139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0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pacing w:val="-11"/>
                <w:sz w:val="24"/>
              </w:rPr>
              <w:t>设计基本地震加速度值</w:t>
            </w:r>
          </w:p>
        </w:tc>
        <w:tc>
          <w:tcPr>
            <w:tcW w:w="1382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382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设计地震分组</w:t>
            </w:r>
          </w:p>
        </w:tc>
        <w:tc>
          <w:tcPr>
            <w:tcW w:w="1382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382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场地类别</w:t>
            </w:r>
          </w:p>
        </w:tc>
        <w:tc>
          <w:tcPr>
            <w:tcW w:w="1448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0" w:type="dxa"/>
            <w:gridSpan w:val="3"/>
            <w:shd w:val="clear" w:color="auto" w:fill="F1F1F1" w:themeFill="background1" w:themeFillShade="F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pacing w:val="-11"/>
                <w:sz w:val="24"/>
              </w:rPr>
            </w:pPr>
            <w:r>
              <w:rPr>
                <w:rFonts w:eastAsia="黑体" w:cs="Times New Roman"/>
                <w:sz w:val="24"/>
              </w:rPr>
              <w:t>建筑形体规则性</w:t>
            </w:r>
          </w:p>
        </w:tc>
        <w:tc>
          <w:tcPr>
            <w:tcW w:w="1382" w:type="dxa"/>
            <w:gridSpan w:val="6"/>
            <w:shd w:val="clear" w:color="auto" w:fill="F1F1F1" w:themeFill="background1" w:themeFillShade="F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382" w:type="dxa"/>
            <w:gridSpan w:val="2"/>
            <w:shd w:val="clear" w:color="auto" w:fill="F1F1F1" w:themeFill="background1" w:themeFillShade="F2"/>
            <w:noWrap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预制</w:t>
            </w:r>
          </w:p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装配率</w:t>
            </w:r>
          </w:p>
        </w:tc>
        <w:tc>
          <w:tcPr>
            <w:tcW w:w="1382" w:type="dxa"/>
            <w:gridSpan w:val="5"/>
            <w:shd w:val="clear" w:color="auto" w:fill="F1F1F1" w:themeFill="background1" w:themeFillShade="F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  <w:tc>
          <w:tcPr>
            <w:tcW w:w="1382" w:type="dxa"/>
            <w:gridSpan w:val="5"/>
            <w:shd w:val="clear" w:color="auto" w:fill="F1F1F1" w:themeFill="background1" w:themeFillShade="F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hint="eastAsia" w:eastAsia="黑体" w:cs="Times New Roman"/>
                <w:color w:val="000000"/>
                <w:sz w:val="24"/>
              </w:rPr>
              <w:t>Z</w:t>
            </w:r>
            <w:r>
              <w:rPr>
                <w:rFonts w:hint="eastAsia" w:eastAsia="黑体" w:cs="Times New Roman"/>
                <w:color w:val="000000"/>
                <w:sz w:val="24"/>
                <w:vertAlign w:val="subscript"/>
              </w:rPr>
              <w:t>1</w:t>
            </w:r>
          </w:p>
        </w:tc>
        <w:tc>
          <w:tcPr>
            <w:tcW w:w="1448" w:type="dxa"/>
            <w:gridSpan w:val="3"/>
            <w:shd w:val="clear" w:color="auto" w:fill="F1F1F1" w:themeFill="background1" w:themeFillShade="F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混凝土总用量</w:t>
            </w:r>
          </w:p>
        </w:tc>
        <w:tc>
          <w:tcPr>
            <w:tcW w:w="207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  <w:vertAlign w:val="superscript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20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每平方米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混凝土折算厚度</w:t>
            </w:r>
          </w:p>
        </w:tc>
        <w:tc>
          <w:tcPr>
            <w:tcW w:w="213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  <w:vertAlign w:val="superscript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cm/m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钢材总用量</w:t>
            </w:r>
          </w:p>
        </w:tc>
        <w:tc>
          <w:tcPr>
            <w:tcW w:w="207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钢筋：t</w:t>
            </w:r>
          </w:p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型钢：t</w:t>
            </w:r>
          </w:p>
        </w:tc>
        <w:tc>
          <w:tcPr>
            <w:tcW w:w="20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每平方米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钢材用量</w:t>
            </w:r>
          </w:p>
        </w:tc>
        <w:tc>
          <w:tcPr>
            <w:tcW w:w="213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钢筋：kg</w:t>
            </w:r>
          </w:p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型钢：kg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44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抗震计算是否采用等同现浇因素调整</w:t>
            </w:r>
          </w:p>
        </w:tc>
        <w:tc>
          <w:tcPr>
            <w:tcW w:w="421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 xml:space="preserve">是  </w:t>
            </w: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44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构件设计计算是否包括制作、运输、生产、施工安装阶段的计算和验算</w:t>
            </w:r>
          </w:p>
        </w:tc>
        <w:tc>
          <w:tcPr>
            <w:tcW w:w="421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 xml:space="preserve">是  </w:t>
            </w: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抗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震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分析</w:t>
            </w:r>
          </w:p>
        </w:tc>
        <w:tc>
          <w:tcPr>
            <w:tcW w:w="176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程序名称</w:t>
            </w:r>
          </w:p>
        </w:tc>
        <w:tc>
          <w:tcPr>
            <w:tcW w:w="6149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不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考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虑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扭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转耦联</w:t>
            </w:r>
          </w:p>
        </w:tc>
        <w:tc>
          <w:tcPr>
            <w:tcW w:w="12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方 向</w:t>
            </w:r>
          </w:p>
        </w:tc>
        <w:tc>
          <w:tcPr>
            <w:tcW w:w="12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T1</w:t>
            </w:r>
            <w:r>
              <w:rPr>
                <w:rFonts w:hint="eastAsia" w:eastAsia="黑体" w:cs="Times New Roman"/>
                <w:color w:val="000000"/>
                <w:sz w:val="24"/>
              </w:rPr>
              <w:t>（</w:t>
            </w:r>
            <w:r>
              <w:rPr>
                <w:rFonts w:eastAsia="黑体" w:cs="Times New Roman"/>
                <w:color w:val="000000"/>
                <w:sz w:val="24"/>
              </w:rPr>
              <w:t>s</w:t>
            </w:r>
            <w:r>
              <w:rPr>
                <w:rFonts w:hint="eastAsia" w:eastAsia="黑体" w:cs="Times New Roman"/>
                <w:color w:val="000000"/>
                <w:sz w:val="24"/>
              </w:rPr>
              <w:t>）</w:t>
            </w:r>
          </w:p>
        </w:tc>
        <w:tc>
          <w:tcPr>
            <w:tcW w:w="12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hint="eastAsia" w:eastAsia="黑体" w:cs="Times New Roman"/>
                <w:color w:val="000000"/>
                <w:sz w:val="24"/>
              </w:rPr>
              <w:t>（</w:t>
            </w:r>
            <w:r>
              <w:rPr>
                <w:rFonts w:eastAsia="黑体" w:cs="Times New Roman"/>
                <w:color w:val="000000"/>
                <w:sz w:val="24"/>
              </w:rPr>
              <w:t>kN</w:t>
            </w:r>
            <w:r>
              <w:rPr>
                <w:rFonts w:hint="eastAsia" w:eastAsia="黑体" w:cs="Times New Roman"/>
                <w:color w:val="000000"/>
                <w:sz w:val="24"/>
              </w:rPr>
              <w:t>）</w:t>
            </w:r>
          </w:p>
        </w:tc>
        <w:tc>
          <w:tcPr>
            <w:tcW w:w="12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eastAsia="黑体" w:cs="Times New Roman"/>
                <w:color w:val="000000"/>
                <w:sz w:val="24"/>
              </w:rPr>
              <w:t>/Geq</w:t>
            </w:r>
          </w:p>
        </w:tc>
        <w:tc>
          <w:tcPr>
            <w:tcW w:w="12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 xml:space="preserve">△Uu </w:t>
            </w:r>
            <w:r>
              <w:rPr>
                <w:rFonts w:hint="eastAsia" w:eastAsia="黑体" w:cs="Times New Roman"/>
                <w:color w:val="000000"/>
                <w:sz w:val="24"/>
              </w:rPr>
              <w:t>（</w:t>
            </w:r>
            <w:r>
              <w:rPr>
                <w:rFonts w:eastAsia="黑体" w:cs="Times New Roman"/>
                <w:color w:val="000000"/>
                <w:sz w:val="24"/>
              </w:rPr>
              <w:t>mm</w:t>
            </w:r>
            <w:r>
              <w:rPr>
                <w:rFonts w:hint="eastAsia" w:eastAsia="黑体" w:cs="Times New Roman"/>
                <w:color w:val="000000"/>
                <w:sz w:val="24"/>
              </w:rPr>
              <w:t>）</w:t>
            </w: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△Uu/h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12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横 向</w:t>
            </w:r>
          </w:p>
        </w:tc>
        <w:tc>
          <w:tcPr>
            <w:tcW w:w="12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  <w:tc>
          <w:tcPr>
            <w:tcW w:w="12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12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纵 向</w:t>
            </w:r>
          </w:p>
        </w:tc>
        <w:tc>
          <w:tcPr>
            <w:tcW w:w="12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  <w:tc>
          <w:tcPr>
            <w:tcW w:w="12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考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虑扭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转耦联</w:t>
            </w: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振型号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T(s)</w:t>
            </w: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转角</w:t>
            </w:r>
          </w:p>
        </w:tc>
        <w:tc>
          <w:tcPr>
            <w:tcW w:w="8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扭转系数</w:t>
            </w: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方向</w:t>
            </w:r>
          </w:p>
        </w:tc>
        <w:tc>
          <w:tcPr>
            <w:tcW w:w="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eastAsia="黑体" w:cs="Times New Roman"/>
                <w:color w:val="000000"/>
                <w:sz w:val="24"/>
              </w:rPr>
              <w:t>(kN)</w:t>
            </w: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eastAsia="黑体" w:cs="Times New Roman"/>
                <w:color w:val="000000"/>
                <w:sz w:val="24"/>
              </w:rPr>
              <w:t>/Geq</w:t>
            </w: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△Ue (mm)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△Ue/h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1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横向</w:t>
            </w:r>
          </w:p>
        </w:tc>
        <w:tc>
          <w:tcPr>
            <w:tcW w:w="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2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纵向</w:t>
            </w:r>
          </w:p>
        </w:tc>
        <w:tc>
          <w:tcPr>
            <w:tcW w:w="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3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245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地震作用最大方向</w:t>
            </w:r>
          </w:p>
        </w:tc>
        <w:tc>
          <w:tcPr>
            <w:tcW w:w="16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21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时程分析程序名称</w:t>
            </w:r>
          </w:p>
        </w:tc>
        <w:tc>
          <w:tcPr>
            <w:tcW w:w="5726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21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波     名</w:t>
            </w:r>
          </w:p>
        </w:tc>
        <w:tc>
          <w:tcPr>
            <w:tcW w:w="19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eastAsia="黑体" w:cs="Times New Roman"/>
                <w:color w:val="000000"/>
                <w:sz w:val="24"/>
              </w:rPr>
              <w:t>(kN)</w:t>
            </w:r>
          </w:p>
        </w:tc>
        <w:tc>
          <w:tcPr>
            <w:tcW w:w="19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eastAsia="黑体" w:cs="Times New Roman"/>
                <w:color w:val="000000"/>
                <w:sz w:val="24"/>
              </w:rPr>
              <w:t>/Geq</w:t>
            </w: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△U/h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21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21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3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000000"/>
                <w:sz w:val="24"/>
              </w:rPr>
            </w:pPr>
          </w:p>
        </w:tc>
        <w:tc>
          <w:tcPr>
            <w:tcW w:w="21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56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结构专业设计主要特点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8356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（不少于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4</w:t>
            </w:r>
            <w:r>
              <w:rPr>
                <w:rFonts w:eastAsia="仿宋_GB2312" w:cs="Times New Roman"/>
                <w:color w:val="000000"/>
                <w:sz w:val="24"/>
              </w:rPr>
              <w:t>00字）</w:t>
            </w:r>
          </w:p>
        </w:tc>
      </w:tr>
    </w:tbl>
    <w:p>
      <w:pPr>
        <w:spacing w:afterLines="50"/>
        <w:jc w:val="center"/>
        <w:rPr>
          <w:rStyle w:val="6"/>
          <w:rFonts w:ascii="黑体" w:hAnsi="黑体" w:eastAsia="黑体" w:cs="黑体"/>
          <w:b w:val="0"/>
          <w:bCs w:val="0"/>
          <w:color w:val="000000"/>
          <w:sz w:val="36"/>
          <w:szCs w:val="36"/>
        </w:rPr>
      </w:pPr>
      <w:r>
        <w:rPr>
          <w:rFonts w:hint="eastAsia" w:eastAsia="黑体"/>
          <w:color w:val="000000"/>
          <w:sz w:val="28"/>
        </w:rPr>
        <w:br w:type="page"/>
      </w:r>
      <w:r>
        <w:rPr>
          <w:rFonts w:hint="eastAsia" w:ascii="黑体" w:hAnsi="黑体" w:eastAsia="黑体" w:cs="黑体"/>
          <w:color w:val="000000"/>
          <w:sz w:val="36"/>
          <w:szCs w:val="36"/>
        </w:rPr>
        <w:t>专业技术指标（给排水专业）</w:t>
      </w:r>
    </w:p>
    <w:tbl>
      <w:tblPr>
        <w:tblStyle w:val="4"/>
        <w:tblW w:w="83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734"/>
        <w:gridCol w:w="60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给水系统方式</w:t>
            </w:r>
          </w:p>
        </w:tc>
        <w:tc>
          <w:tcPr>
            <w:tcW w:w="6028" w:type="dxa"/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中水回收使用方式</w:t>
            </w:r>
          </w:p>
        </w:tc>
        <w:tc>
          <w:tcPr>
            <w:tcW w:w="6028" w:type="dxa"/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雨、污水排放方式</w:t>
            </w:r>
          </w:p>
        </w:tc>
        <w:tc>
          <w:tcPr>
            <w:tcW w:w="6028" w:type="dxa"/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消防给水方式</w:t>
            </w:r>
          </w:p>
        </w:tc>
        <w:tc>
          <w:tcPr>
            <w:tcW w:w="6028" w:type="dxa"/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29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设备专业设计主要特点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给 排 水</w:t>
            </w:r>
          </w:p>
        </w:tc>
        <w:tc>
          <w:tcPr>
            <w:tcW w:w="7762" w:type="dxa"/>
            <w:gridSpan w:val="2"/>
          </w:tcPr>
          <w:p>
            <w:pPr>
              <w:spacing w:beforeLines="50" w:afterLines="50" w:line="300" w:lineRule="exac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（不少于200字）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消防给水</w:t>
            </w:r>
          </w:p>
        </w:tc>
        <w:tc>
          <w:tcPr>
            <w:tcW w:w="7762" w:type="dxa"/>
            <w:gridSpan w:val="2"/>
          </w:tcPr>
          <w:p>
            <w:pPr>
              <w:spacing w:beforeLines="50" w:afterLines="50" w:line="300" w:lineRule="exac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（不少于200字）</w:t>
            </w:r>
          </w:p>
        </w:tc>
      </w:tr>
    </w:tbl>
    <w:p>
      <w:pPr>
        <w:spacing w:beforeLines="50" w:afterLines="50" w:line="560" w:lineRule="exact"/>
        <w:jc w:val="center"/>
        <w:rPr>
          <w:rStyle w:val="6"/>
          <w:rFonts w:ascii="黑体" w:hAnsi="黑体" w:eastAsia="黑体" w:cs="黑体"/>
          <w:b w:val="0"/>
          <w:bCs w:val="0"/>
          <w:color w:val="000000"/>
          <w:sz w:val="36"/>
          <w:szCs w:val="36"/>
        </w:rPr>
      </w:pP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6"/>
          <w:szCs w:val="36"/>
        </w:rPr>
        <w:t>专业技术指标（暖通专业）</w:t>
      </w:r>
    </w:p>
    <w:tbl>
      <w:tblPr>
        <w:tblStyle w:val="4"/>
        <w:tblW w:w="83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734"/>
        <w:gridCol w:w="2490"/>
        <w:gridCol w:w="1770"/>
        <w:gridCol w:w="17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采  暖  方  式</w:t>
            </w:r>
          </w:p>
        </w:tc>
        <w:tc>
          <w:tcPr>
            <w:tcW w:w="6028" w:type="dxa"/>
            <w:gridSpan w:val="3"/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采暖/空调总热负荷</w:t>
            </w:r>
          </w:p>
        </w:tc>
        <w:tc>
          <w:tcPr>
            <w:tcW w:w="2490" w:type="dxa"/>
            <w:vAlign w:val="center"/>
          </w:tcPr>
          <w:p>
            <w:pPr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kW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空调总冷负荷</w:t>
            </w:r>
          </w:p>
        </w:tc>
        <w:tc>
          <w:tcPr>
            <w:tcW w:w="1768" w:type="dxa"/>
            <w:vAlign w:val="center"/>
          </w:tcPr>
          <w:p>
            <w:pPr>
              <w:jc w:val="righ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kW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空调通风方式</w:t>
            </w:r>
          </w:p>
        </w:tc>
        <w:tc>
          <w:tcPr>
            <w:tcW w:w="6028" w:type="dxa"/>
            <w:gridSpan w:val="3"/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空调水系统方式</w:t>
            </w:r>
          </w:p>
        </w:tc>
        <w:tc>
          <w:tcPr>
            <w:tcW w:w="6028" w:type="dxa"/>
            <w:gridSpan w:val="3"/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29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设备专业设计主要特点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暖通</w:t>
            </w:r>
          </w:p>
        </w:tc>
        <w:tc>
          <w:tcPr>
            <w:tcW w:w="7762" w:type="dxa"/>
            <w:gridSpan w:val="4"/>
          </w:tcPr>
          <w:p>
            <w:pPr>
              <w:spacing w:beforeLines="50" w:afterLines="50" w:line="300" w:lineRule="exac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（不少于200字）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动力</w:t>
            </w:r>
          </w:p>
        </w:tc>
        <w:tc>
          <w:tcPr>
            <w:tcW w:w="7762" w:type="dxa"/>
            <w:gridSpan w:val="4"/>
          </w:tcPr>
          <w:p>
            <w:pPr>
              <w:spacing w:beforeLines="50" w:afterLines="50" w:line="300" w:lineRule="exac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（不少于200字）</w:t>
            </w:r>
          </w:p>
        </w:tc>
      </w:tr>
    </w:tbl>
    <w:p>
      <w:pPr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br w:type="page"/>
      </w:r>
    </w:p>
    <w:p>
      <w:pPr>
        <w:spacing w:afterLines="50" w:line="560" w:lineRule="exact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专业技术指标（电气专业）</w:t>
      </w:r>
    </w:p>
    <w:tbl>
      <w:tblPr>
        <w:tblStyle w:val="4"/>
        <w:tblW w:w="83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2067"/>
        <w:gridCol w:w="1410"/>
        <w:gridCol w:w="2505"/>
        <w:gridCol w:w="1861"/>
        <w:gridCol w:w="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4" w:hRule="atLeast"/>
          <w:jc w:val="center"/>
        </w:trPr>
        <w:tc>
          <w:tcPr>
            <w:tcW w:w="253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动力总电负荷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kW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供电电源设计情况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4" w:hRule="atLeast"/>
          <w:jc w:val="center"/>
        </w:trPr>
        <w:tc>
          <w:tcPr>
            <w:tcW w:w="253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照明总电负荷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kW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-6"/>
                <w:sz w:val="24"/>
                <w:szCs w:val="22"/>
              </w:rPr>
              <w:t>变压器装机台数及容量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台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；</w:t>
            </w:r>
            <w:r>
              <w:rPr>
                <w:rFonts w:eastAsia="仿宋_GB2312" w:cs="Times New Roman"/>
                <w:color w:val="000000"/>
                <w:sz w:val="24"/>
              </w:rPr>
              <w:t>kVA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4" w:hRule="atLeast"/>
          <w:jc w:val="center"/>
        </w:trPr>
        <w:tc>
          <w:tcPr>
            <w:tcW w:w="253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-6"/>
                <w:sz w:val="24"/>
                <w:szCs w:val="22"/>
              </w:rPr>
              <w:t>防雷设防类别及方式</w:t>
            </w:r>
          </w:p>
        </w:tc>
        <w:tc>
          <w:tcPr>
            <w:tcW w:w="5776" w:type="dxa"/>
            <w:gridSpan w:val="3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4" w:hRule="atLeast"/>
          <w:jc w:val="center"/>
        </w:trPr>
        <w:tc>
          <w:tcPr>
            <w:tcW w:w="253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动力内容</w:t>
            </w:r>
          </w:p>
        </w:tc>
        <w:tc>
          <w:tcPr>
            <w:tcW w:w="5776" w:type="dxa"/>
            <w:gridSpan w:val="3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4" w:hRule="atLeast"/>
          <w:jc w:val="center"/>
        </w:trPr>
        <w:tc>
          <w:tcPr>
            <w:tcW w:w="253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弱电设计内容</w:t>
            </w:r>
          </w:p>
        </w:tc>
        <w:tc>
          <w:tcPr>
            <w:tcW w:w="5776" w:type="dxa"/>
            <w:gridSpan w:val="3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4" w:hRule="atLeast"/>
          <w:jc w:val="center"/>
        </w:trPr>
        <w:tc>
          <w:tcPr>
            <w:tcW w:w="253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-6"/>
                <w:sz w:val="24"/>
                <w:szCs w:val="22"/>
              </w:rPr>
              <w:t>照明方式及节能措施</w:t>
            </w:r>
          </w:p>
        </w:tc>
        <w:tc>
          <w:tcPr>
            <w:tcW w:w="5776" w:type="dxa"/>
            <w:gridSpan w:val="3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4" w:hRule="atLeast"/>
          <w:jc w:val="center"/>
        </w:trPr>
        <w:tc>
          <w:tcPr>
            <w:tcW w:w="253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-6"/>
                <w:sz w:val="24"/>
                <w:szCs w:val="22"/>
              </w:rPr>
              <w:t>用电负荷等级确定情况</w:t>
            </w:r>
          </w:p>
        </w:tc>
        <w:tc>
          <w:tcPr>
            <w:tcW w:w="5776" w:type="dxa"/>
            <w:gridSpan w:val="3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cantSplit/>
          <w:trHeight w:val="454" w:hRule="atLeast"/>
          <w:jc w:val="center"/>
        </w:trPr>
        <w:tc>
          <w:tcPr>
            <w:tcW w:w="8306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电气专业设计主要特点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63" w:type="dxa"/>
            <w:vAlign w:val="center"/>
          </w:tcPr>
          <w:p>
            <w:pPr>
              <w:spacing w:beforeLines="50" w:afterLines="50" w:line="30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强电</w:t>
            </w:r>
          </w:p>
        </w:tc>
        <w:tc>
          <w:tcPr>
            <w:tcW w:w="7862" w:type="dxa"/>
            <w:gridSpan w:val="5"/>
          </w:tcPr>
          <w:p>
            <w:pPr>
              <w:spacing w:beforeLines="50" w:afterLines="50" w:line="300" w:lineRule="exac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（不少于200字）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63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弱电</w:t>
            </w:r>
          </w:p>
        </w:tc>
        <w:tc>
          <w:tcPr>
            <w:tcW w:w="7862" w:type="dxa"/>
            <w:gridSpan w:val="5"/>
          </w:tcPr>
          <w:p>
            <w:pPr>
              <w:spacing w:beforeLines="50" w:afterLines="50" w:line="300" w:lineRule="exac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（不少于200字）</w:t>
            </w:r>
          </w:p>
        </w:tc>
      </w:tr>
    </w:tbl>
    <w:p>
      <w:pPr>
        <w:spacing w:beforeLines="50" w:afterLines="50" w:line="560" w:lineRule="exact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专业技术指标（集成设计）</w:t>
      </w:r>
    </w:p>
    <w:tbl>
      <w:tblPr>
        <w:tblStyle w:val="4"/>
        <w:tblW w:w="82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1F1F1" w:themeFill="background1" w:themeFillShade="F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1395"/>
        <w:gridCol w:w="2250"/>
        <w:gridCol w:w="1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57" w:type="dxa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设备管线分离</w:t>
            </w:r>
          </w:p>
        </w:tc>
        <w:tc>
          <w:tcPr>
            <w:tcW w:w="1395" w:type="dxa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是</w:t>
            </w: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否</w:t>
            </w:r>
          </w:p>
        </w:tc>
        <w:tc>
          <w:tcPr>
            <w:tcW w:w="2250" w:type="dxa"/>
            <w:shd w:val="clear" w:color="auto" w:fill="auto"/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BIM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技术应用情况</w:t>
            </w:r>
          </w:p>
        </w:tc>
        <w:tc>
          <w:tcPr>
            <w:tcW w:w="1976" w:type="dxa"/>
            <w:shd w:val="clear" w:color="auto" w:fill="auto"/>
            <w:vAlign w:val="center"/>
          </w:tcPr>
          <w:p>
            <w:pPr>
              <w:ind w:right="-45"/>
              <w:jc w:val="lef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全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阶段全专业</w:t>
            </w:r>
          </w:p>
          <w:p>
            <w:pPr>
              <w:ind w:right="-45"/>
              <w:jc w:val="lef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hint="eastAsia" w:eastAsia="仿宋_GB2312" w:cs="Times New Roman"/>
                <w:color w:val="000000"/>
                <w:sz w:val="24"/>
              </w:rPr>
              <w:t xml:space="preserve">部分 </w:t>
            </w: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未用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57" w:type="dxa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建筑、装修一体化设计</w:t>
            </w:r>
          </w:p>
        </w:tc>
        <w:tc>
          <w:tcPr>
            <w:tcW w:w="1395" w:type="dxa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是</w:t>
            </w: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否</w:t>
            </w:r>
          </w:p>
        </w:tc>
        <w:tc>
          <w:tcPr>
            <w:tcW w:w="2250" w:type="dxa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其它集成设计</w:t>
            </w:r>
          </w:p>
        </w:tc>
        <w:tc>
          <w:tcPr>
            <w:tcW w:w="1976" w:type="dxa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8" w:type="dxa"/>
            <w:gridSpan w:val="4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2"/>
              </w:rPr>
              <w:t>集成设计主要特点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8278" w:type="dxa"/>
            <w:gridSpan w:val="4"/>
            <w:shd w:val="clear" w:color="auto" w:fill="F1F1F1" w:themeFill="background1" w:themeFillShade="F2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（不少于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3</w:t>
            </w:r>
            <w:r>
              <w:rPr>
                <w:rFonts w:eastAsia="仿宋_GB2312" w:cs="Times New Roman"/>
                <w:color w:val="000000"/>
                <w:sz w:val="24"/>
              </w:rPr>
              <w:t>00字）</w:t>
            </w:r>
          </w:p>
        </w:tc>
      </w:tr>
    </w:tbl>
    <w:p>
      <w:pPr>
        <w:rPr>
          <w:rFonts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专业技术指标（技术经济指标）</w:t>
      </w:r>
    </w:p>
    <w:tbl>
      <w:tblPr>
        <w:tblStyle w:val="4"/>
        <w:tblW w:w="83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2076"/>
        <w:gridCol w:w="2076"/>
        <w:gridCol w:w="20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单位规模建筑面积指标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  <w:vertAlign w:val="superscript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使用面积系数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单位建筑面积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耗热量指标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  <w:vertAlign w:val="superscript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W/m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单位建筑面积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耗冷量指标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  <w:vertAlign w:val="superscript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W/m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单位建筑面积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变压器装机容量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  <w:vertAlign w:val="superscript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VA/m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日供水量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 xml:space="preserve">m 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3</w:t>
            </w:r>
            <w:r>
              <w:rPr>
                <w:rFonts w:eastAsia="仿宋_GB2312" w:cs="Times New Roman"/>
                <w:color w:val="000000"/>
                <w:sz w:val="24"/>
              </w:rPr>
              <w:t>/日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5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概算</w:t>
            </w:r>
          </w:p>
        </w:tc>
        <w:tc>
          <w:tcPr>
            <w:tcW w:w="415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竣工结算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总造价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人民币   万元</w:t>
            </w:r>
          </w:p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外  币  万美元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总造价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人民币    万元</w:t>
            </w:r>
          </w:p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外  币  万美元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土建与安装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工程的比例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土建   %</w:t>
            </w:r>
          </w:p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安装   %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土建与安装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工程的比例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土建   %</w:t>
            </w:r>
          </w:p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安装   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单位建筑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面积造价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元/m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单位建筑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面积造价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元/m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单位规模造价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元/m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单位规模造价</w:t>
            </w: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元/m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0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结算与概算出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入的主要原因</w:t>
            </w:r>
          </w:p>
        </w:tc>
        <w:tc>
          <w:tcPr>
            <w:tcW w:w="622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经济专业主要特点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83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（不少于100字）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装配式建筑成本综合对比分析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83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（不少于200字）</w:t>
            </w:r>
          </w:p>
        </w:tc>
      </w:tr>
    </w:tbl>
    <w:p>
      <w:pPr>
        <w:pStyle w:val="7"/>
        <w:spacing w:before="0" w:beforeAutospacing="0" w:after="0" w:afterAutospacing="0" w:line="560" w:lineRule="exact"/>
        <w:rPr>
          <w:rFonts w:ascii="黑体" w:hAnsi="黑体" w:eastAsia="黑体"/>
          <w:sz w:val="36"/>
          <w:szCs w:val="36"/>
        </w:rPr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指标表中灰色部分仅装配式建筑填写。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4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Style w:val="8"/>
                <w:rFonts w:ascii="仿宋_GB2312" w:hAnsi="仿宋_GB2312" w:eastAsia="仿宋_GB2312" w:cs="仿宋_GB2312"/>
                <w:bCs/>
                <w:color w:val="000000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Cs/>
                <w:color w:val="000000"/>
              </w:rPr>
              <w:t>建筑工程设计（</w:t>
            </w:r>
            <w:r>
              <w:rPr>
                <w:rStyle w:val="8"/>
                <w:rFonts w:hint="eastAsia" w:ascii="仿宋_GB2312" w:hAnsi="仿宋_GB2312" w:eastAsia="仿宋_GB2312" w:cs="仿宋_GB2312"/>
                <w:bCs/>
                <w:color w:val="000000"/>
              </w:rPr>
              <w:sym w:font="Wingdings 2" w:char="00A3"/>
            </w:r>
            <w:r>
              <w:rPr>
                <w:rStyle w:val="8"/>
                <w:rFonts w:hint="eastAsia" w:ascii="仿宋_GB2312" w:hAnsi="仿宋_GB2312" w:eastAsia="仿宋_GB2312" w:cs="仿宋_GB2312"/>
                <w:bCs/>
                <w:color w:val="000000"/>
              </w:rPr>
              <w:t xml:space="preserve">公共建筑 </w:t>
            </w:r>
            <w:r>
              <w:rPr>
                <w:rStyle w:val="8"/>
                <w:rFonts w:hint="eastAsia" w:ascii="仿宋_GB2312" w:hAnsi="仿宋_GB2312" w:eastAsia="仿宋_GB2312" w:cs="仿宋_GB2312"/>
                <w:bCs/>
                <w:color w:val="000000"/>
              </w:rPr>
              <w:sym w:font="Wingdings 2" w:char="00A3"/>
            </w:r>
            <w:r>
              <w:rPr>
                <w:rStyle w:val="8"/>
                <w:rFonts w:hint="eastAsia" w:ascii="仿宋_GB2312" w:hAnsi="仿宋_GB2312" w:eastAsia="仿宋_GB2312" w:cs="仿宋_GB2312"/>
                <w:bCs/>
                <w:color w:val="000000"/>
              </w:rPr>
              <w:t>一般工业建筑）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bCs/>
                <w:color w:val="000000"/>
              </w:rPr>
              <w:sym w:font="Wingdings 2" w:char="00A3"/>
            </w:r>
            <w:r>
              <w:rPr>
                <w:rStyle w:val="8"/>
                <w:rFonts w:hint="eastAsia" w:ascii="仿宋_GB2312" w:hAnsi="仿宋_GB2312" w:eastAsia="仿宋_GB2312" w:cs="仿宋_GB2312"/>
                <w:bCs/>
                <w:color w:val="000000"/>
              </w:rPr>
              <w:t>村镇公共建筑设计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7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申报单位只填选“项目名称”“项目类型”两栏，其余不填。</w:t>
      </w:r>
    </w:p>
    <w:sectPr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ab/>
    </w:r>
    <w:r>
      <w:rPr>
        <w:rStyle w:val="10"/>
        <w:rFonts w:hint="eastAsia"/>
        <w:sz w:val="28"/>
        <w:szCs w:val="28"/>
      </w:rPr>
      <w:tab/>
    </w:r>
  </w:p>
  <w:p>
    <w:pPr>
      <w:pStyle w:val="2"/>
      <w:rPr>
        <w:rStyle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10"/>
        <w:sz w:val="21"/>
        <w:szCs w:val="21"/>
      </w:rPr>
    </w:pPr>
    <w:r>
      <w:rPr>
        <w:sz w:val="2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- 10 -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Style w:val="10"/>
        <w:rFonts w:hint="eastAsia"/>
        <w:sz w:val="28"/>
        <w:szCs w:val="28"/>
      </w:rPr>
      <w:tab/>
    </w:r>
    <w:r>
      <w:rPr>
        <w:rStyle w:val="10"/>
        <w:rFonts w:hint="eastAsia"/>
        <w:sz w:val="21"/>
        <w:szCs w:val="21"/>
      </w:rPr>
      <w:tab/>
    </w:r>
  </w:p>
  <w:p>
    <w:pPr>
      <w:pStyle w:val="2"/>
      <w:rPr>
        <w:rStyle w:val="1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000A0D00"/>
    <w:rsid w:val="000A0D00"/>
    <w:rsid w:val="000E7AD5"/>
    <w:rsid w:val="001A205A"/>
    <w:rsid w:val="00397803"/>
    <w:rsid w:val="003B0870"/>
    <w:rsid w:val="005F1229"/>
    <w:rsid w:val="006B3A48"/>
    <w:rsid w:val="007757D2"/>
    <w:rsid w:val="008073FC"/>
    <w:rsid w:val="00B37618"/>
    <w:rsid w:val="00C31F41"/>
    <w:rsid w:val="00D657CB"/>
    <w:rsid w:val="010A0815"/>
    <w:rsid w:val="05FC2739"/>
    <w:rsid w:val="0EA231FD"/>
    <w:rsid w:val="0ECA593A"/>
    <w:rsid w:val="0F8A2EEB"/>
    <w:rsid w:val="11353CB3"/>
    <w:rsid w:val="12CB283C"/>
    <w:rsid w:val="1445019F"/>
    <w:rsid w:val="169D06DA"/>
    <w:rsid w:val="16B955F2"/>
    <w:rsid w:val="1B923671"/>
    <w:rsid w:val="1F9E431A"/>
    <w:rsid w:val="215D4C72"/>
    <w:rsid w:val="38440AED"/>
    <w:rsid w:val="39C426C9"/>
    <w:rsid w:val="3BE51326"/>
    <w:rsid w:val="4244792B"/>
    <w:rsid w:val="432902F5"/>
    <w:rsid w:val="4387763C"/>
    <w:rsid w:val="454D6280"/>
    <w:rsid w:val="4BA925C9"/>
    <w:rsid w:val="4CAA0A55"/>
    <w:rsid w:val="4D034CF0"/>
    <w:rsid w:val="4E126750"/>
    <w:rsid w:val="534728BD"/>
    <w:rsid w:val="55735E0E"/>
    <w:rsid w:val="5B4E013D"/>
    <w:rsid w:val="5E386316"/>
    <w:rsid w:val="5F680A29"/>
    <w:rsid w:val="60C65921"/>
    <w:rsid w:val="6286689C"/>
    <w:rsid w:val="62E44DAF"/>
    <w:rsid w:val="63D847D7"/>
    <w:rsid w:val="64174967"/>
    <w:rsid w:val="6C9A5AD4"/>
    <w:rsid w:val="6D065661"/>
    <w:rsid w:val="6E432EE3"/>
    <w:rsid w:val="7BFF0625"/>
    <w:rsid w:val="7EEE4D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22"/>
    <w:rPr>
      <w:b/>
      <w:bCs/>
    </w:rPr>
  </w:style>
  <w:style w:type="paragraph" w:customStyle="1" w:styleId="7">
    <w:name w:val="style1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8">
    <w:name w:val="wordtitle31"/>
    <w:autoRedefine/>
    <w:qFormat/>
    <w:uiPriority w:val="0"/>
    <w:rPr>
      <w:rFonts w:hint="default" w:ascii="ˎ̥" w:hAnsi="ˎ̥"/>
      <w:sz w:val="32"/>
      <w:szCs w:val="32"/>
    </w:rPr>
  </w:style>
  <w:style w:type="character" w:customStyle="1" w:styleId="9">
    <w:name w:val="wordtitle21"/>
    <w:autoRedefine/>
    <w:qFormat/>
    <w:uiPriority w:val="0"/>
    <w:rPr>
      <w:rFonts w:hint="default" w:ascii="ˎ̥" w:hAnsi="ˎ̥"/>
      <w:sz w:val="36"/>
      <w:szCs w:val="36"/>
    </w:rPr>
  </w:style>
  <w:style w:type="character" w:customStyle="1" w:styleId="10">
    <w:name w:val="NormalCharacter"/>
    <w:autoRedefine/>
    <w:semiHidden/>
    <w:qFormat/>
    <w:uiPriority w:val="0"/>
  </w:style>
  <w:style w:type="character" w:customStyle="1" w:styleId="11">
    <w:name w:val="页眉 Char"/>
    <w:basedOn w:val="5"/>
    <w:link w:val="3"/>
    <w:autoRedefine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2161</Words>
  <Characters>2319</Characters>
  <Lines>23</Lines>
  <Paragraphs>6</Paragraphs>
  <TotalTime>16</TotalTime>
  <ScaleCrop>false</ScaleCrop>
  <LinksUpToDate>false</LinksUpToDate>
  <CharactersWithSpaces>2443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2022-04-14T08:20:00Z</dcterms:created>
  <dc:creator>巴黎大炮</dc:creator>
  <cp:lastModifiedBy>巴黎大炮</cp:lastModifiedBy>
  <cp:lastPrinted>2022-05-13T08:31:00Z</cp:lastPrinted>
  <dcterms:modified xsi:type="dcterms:W3CDTF">2024-05-17T01:20:15Z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503D3198D4D54EFA936AFE8C8B602DF0</vt:lpwstr>
  </property>
</Properties>
</file>